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t>4</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p w:rsidR="00497381" w:rsidRPr="00C805BC" w:rsidRDefault="00497381" w:rsidP="00497381">
      <w:pPr>
        <w:pStyle w:val="TPTitul2"/>
        <w:rPr>
          <w:bCs/>
        </w:rPr>
      </w:pPr>
      <w:r w:rsidRPr="00C805BC">
        <w:rPr>
          <w:bCs/>
        </w:rPr>
        <w:t xml:space="preserve">„ETCS </w:t>
      </w:r>
      <w:r w:rsidR="003014B4">
        <w:rPr>
          <w:bCs/>
        </w:rPr>
        <w:t>Mosty u Jablunkova</w:t>
      </w:r>
      <w:r w:rsidR="009147F0">
        <w:rPr>
          <w:bCs/>
        </w:rPr>
        <w:t xml:space="preserve"> - Dětmarovice</w:t>
      </w:r>
      <w:r w:rsidRPr="00C805BC">
        <w:rPr>
          <w:bCs/>
        </w:rPr>
        <w:t>“</w:t>
      </w:r>
    </w:p>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9147F0" w:rsidP="00484A7F">
      <w:pPr>
        <w:pStyle w:val="TPTitul3"/>
      </w:pPr>
      <w:r>
        <w:t>30.8.2020</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799" w:right="1021" w:bottom="2126" w:left="1021" w:header="851" w:footer="567" w:gutter="340"/>
          <w:cols w:space="708"/>
          <w:titlePg/>
          <w:docGrid w:linePitch="360"/>
        </w:sectPr>
      </w:pPr>
      <w:bookmarkStart w:id="0" w:name=".Toc264358700&#10;_Toc264358701&#10;_Toc264358702&#10;_Ref291158391&#10;_Toc264358704&#10;_Toc26"/>
    </w:p>
    <w:p w:rsidR="00D94516" w:rsidRPr="00BB292F" w:rsidRDefault="00D94516" w:rsidP="00484A7F">
      <w:pPr>
        <w:pStyle w:val="TPNADPIS-1neslovn"/>
        <w:outlineLvl w:val="9"/>
      </w:pPr>
      <w:r w:rsidRPr="00BB292F">
        <w:t>Obsah</w:t>
      </w:r>
      <w:bookmarkEnd w:id="0"/>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1" w:name="_Toc507679105"/>
      <w:r w:rsidRPr="00BB292F">
        <w:lastRenderedPageBreak/>
        <w:t>Použité zkratky</w:t>
      </w:r>
      <w:bookmarkEnd w:id="1"/>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rsidTr="00484A7F">
        <w:tblPrEx>
          <w:tblCellMar>
            <w:top w:w="0" w:type="dxa"/>
            <w:bottom w:w="0" w:type="dxa"/>
          </w:tblCellMar>
        </w:tblPrEx>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rsidTr="00484A7F">
        <w:tblPrEx>
          <w:tblCellMar>
            <w:top w:w="0" w:type="dxa"/>
            <w:bottom w:w="0" w:type="dxa"/>
          </w:tblCellMar>
        </w:tblPrEx>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rsidTr="00484A7F">
        <w:tblPrEx>
          <w:tblCellMar>
            <w:top w:w="0" w:type="dxa"/>
            <w:bottom w:w="0" w:type="dxa"/>
          </w:tblCellMar>
        </w:tblPrEx>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rsidTr="00484A7F">
        <w:tblPrEx>
          <w:tblCellMar>
            <w:top w:w="0" w:type="dxa"/>
            <w:bottom w:w="0" w:type="dxa"/>
          </w:tblCellMar>
        </w:tblPrEx>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blPrEx>
          <w:tblCellMar>
            <w:top w:w="0" w:type="dxa"/>
            <w:bottom w:w="0" w:type="dxa"/>
          </w:tblCellMar>
        </w:tblPrEx>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rsidTr="00484A7F">
        <w:tblPrEx>
          <w:tblCellMar>
            <w:top w:w="0" w:type="dxa"/>
            <w:bottom w:w="0" w:type="dxa"/>
          </w:tblCellMar>
        </w:tblPrEx>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EoA</w:t>
            </w:r>
          </w:p>
        </w:tc>
        <w:tc>
          <w:tcPr>
            <w:tcW w:w="7020" w:type="dxa"/>
          </w:tcPr>
          <w:p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rsidTr="00484A7F">
        <w:tblPrEx>
          <w:tblCellMar>
            <w:top w:w="0" w:type="dxa"/>
            <w:bottom w:w="0" w:type="dxa"/>
          </w:tblCellMar>
        </w:tblPrEx>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rsidTr="00484A7F">
        <w:tblPrEx>
          <w:tblCellMar>
            <w:top w:w="0" w:type="dxa"/>
            <w:bottom w:w="0" w:type="dxa"/>
          </w:tblCellMar>
        </w:tblPrEx>
        <w:trPr>
          <w:jc w:val="right"/>
        </w:trPr>
        <w:tc>
          <w:tcPr>
            <w:tcW w:w="1440" w:type="dxa"/>
            <w:vAlign w:val="center"/>
          </w:tcPr>
          <w:p w:rsidR="00593692" w:rsidRPr="00BB292F" w:rsidRDefault="006540AD" w:rsidP="00DA05E7">
            <w:pPr>
              <w:rPr>
                <w:rFonts w:ascii="Calibri" w:hAnsi="Calibri"/>
                <w:b/>
                <w:sz w:val="22"/>
              </w:rPr>
            </w:pPr>
            <w:r w:rsidRPr="00BB292F">
              <w:rPr>
                <w:rFonts w:ascii="Calibri" w:hAnsi="Calibri"/>
                <w:b/>
                <w:sz w:val="22"/>
              </w:rPr>
              <w:t>kV</w:t>
            </w:r>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rsidTr="00484A7F">
        <w:tblPrEx>
          <w:tblCellMar>
            <w:top w:w="0" w:type="dxa"/>
            <w:bottom w:w="0" w:type="dxa"/>
          </w:tblCellMar>
        </w:tblPrEx>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rsidTr="00484A7F">
        <w:tblPrEx>
          <w:tblCellMar>
            <w:top w:w="0" w:type="dxa"/>
            <w:bottom w:w="0" w:type="dxa"/>
          </w:tblCellMar>
        </w:tblPrEx>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rsidTr="00484A7F">
        <w:tblPrEx>
          <w:tblCellMar>
            <w:top w:w="0" w:type="dxa"/>
            <w:bottom w:w="0" w:type="dxa"/>
          </w:tblCellMar>
        </w:tblPrEx>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blPrEx>
          <w:tblCellMar>
            <w:top w:w="0" w:type="dxa"/>
            <w:bottom w:w="0" w:type="dxa"/>
          </w:tblCellMar>
        </w:tblPrEx>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blPrEx>
          <w:tblCellMar>
            <w:top w:w="0" w:type="dxa"/>
            <w:bottom w:w="0" w:type="dxa"/>
          </w:tblCellMar>
        </w:tblPrEx>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blPrEx>
          <w:tblCellMar>
            <w:top w:w="0" w:type="dxa"/>
            <w:bottom w:w="0" w:type="dxa"/>
          </w:tblCellMar>
        </w:tblPrEx>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blPrEx>
          <w:tblCellMar>
            <w:top w:w="0" w:type="dxa"/>
            <w:bottom w:w="0" w:type="dxa"/>
          </w:tblCellMar>
        </w:tblPrEx>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blPrEx>
          <w:tblCellMar>
            <w:top w:w="0" w:type="dxa"/>
            <w:bottom w:w="0" w:type="dxa"/>
          </w:tblCellMar>
        </w:tblPrEx>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rsidTr="00484A7F">
        <w:tblPrEx>
          <w:tblCellMar>
            <w:top w:w="0" w:type="dxa"/>
            <w:bottom w:w="0" w:type="dxa"/>
          </w:tblCellMar>
        </w:tblPrEx>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rsidTr="00484A7F">
        <w:tblPrEx>
          <w:tblCellMar>
            <w:top w:w="0" w:type="dxa"/>
            <w:bottom w:w="0" w:type="dxa"/>
          </w:tblCellMar>
        </w:tblPrEx>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rsidTr="00484A7F">
        <w:tblPrEx>
          <w:tblCellMar>
            <w:top w:w="0" w:type="dxa"/>
            <w:bottom w:w="0" w:type="dxa"/>
          </w:tblCellMar>
        </w:tblPrEx>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rsidTr="00484A7F">
        <w:tblPrEx>
          <w:tblCellMar>
            <w:top w:w="0" w:type="dxa"/>
            <w:bottom w:w="0" w:type="dxa"/>
          </w:tblCellMar>
        </w:tblPrEx>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rsidTr="00484A7F">
        <w:tblPrEx>
          <w:tblCellMar>
            <w:top w:w="0" w:type="dxa"/>
            <w:bottom w:w="0" w:type="dxa"/>
          </w:tblCellMar>
        </w:tblPrEx>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rsidTr="00484A7F">
        <w:tblPrEx>
          <w:tblCellMar>
            <w:top w:w="0" w:type="dxa"/>
            <w:bottom w:w="0" w:type="dxa"/>
          </w:tblCellMar>
        </w:tblPrEx>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rsidTr="00484A7F">
        <w:tblPrEx>
          <w:tblCellMar>
            <w:top w:w="0" w:type="dxa"/>
            <w:bottom w:w="0" w:type="dxa"/>
          </w:tblCellMar>
        </w:tblPrEx>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rsidR="00F6780A" w:rsidRPr="00BB292F" w:rsidRDefault="00FC6B00" w:rsidP="00C16F2C">
      <w:pPr>
        <w:pStyle w:val="TPNADPIS-1neslovn"/>
      </w:pPr>
      <w:r w:rsidRPr="00BB292F">
        <w:br w:type="page"/>
      </w:r>
      <w:bookmarkStart w:id="2" w:name="_Toc507679106"/>
      <w:r w:rsidR="00DA05E7" w:rsidRPr="00BB292F">
        <w:lastRenderedPageBreak/>
        <w:t>Definice</w:t>
      </w:r>
      <w:bookmarkEnd w:id="2"/>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3" w:name="_Toc507679107"/>
      <w:r w:rsidRPr="00BB292F">
        <w:lastRenderedPageBreak/>
        <w:t>Odkazy</w:t>
      </w:r>
      <w:bookmarkEnd w:id="3"/>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4" w:name="_Ref291158391"/>
      <w:bookmarkStart w:id="5" w:name="_Toc507679108"/>
      <w:r w:rsidRPr="00BB292F">
        <w:lastRenderedPageBreak/>
        <w:t>Úvod</w:t>
      </w:r>
      <w:bookmarkEnd w:id="4"/>
      <w:bookmarkEnd w:id="5"/>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6" w:name="_Toc507679109"/>
      <w:r w:rsidRPr="00BB292F">
        <w:t>Základní charakteristika trati</w:t>
      </w:r>
      <w:bookmarkEnd w:id="6"/>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7" w:name="_Toc507679110"/>
      <w:r w:rsidRPr="00BB292F">
        <w:t>Podmínky implementace ETCS</w:t>
      </w:r>
      <w:bookmarkEnd w:id="7"/>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w:t>
      </w:r>
      <w:r w:rsidRPr="00BB292F">
        <w:lastRenderedPageBreak/>
        <w:t>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lastRenderedPageBreak/>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árodního implementačního 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8"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8"/>
    </w:p>
    <w:p w:rsidR="00D94516" w:rsidRPr="00BB292F" w:rsidRDefault="00D94516" w:rsidP="00852A82">
      <w:pPr>
        <w:pStyle w:val="TPNadpis-2slovan"/>
        <w:keepNext w:val="0"/>
      </w:pPr>
      <w:bookmarkStart w:id="9" w:name="_Ref254673678"/>
      <w:bookmarkStart w:id="10" w:name="_Toc507679112"/>
      <w:r w:rsidRPr="00BB292F">
        <w:t>Projednání scénářů vybraných provozních situací</w:t>
      </w:r>
      <w:bookmarkEnd w:id="9"/>
      <w:bookmarkEnd w:id="10"/>
    </w:p>
    <w:p w:rsidR="00D94516" w:rsidRPr="00BB292F" w:rsidRDefault="00D94516" w:rsidP="00852A82">
      <w:pPr>
        <w:pStyle w:val="TPText-1slovan"/>
        <w:keepNext/>
      </w:pPr>
      <w:bookmarkStart w:id="11"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1"/>
    </w:p>
    <w:p w:rsidR="00D94516" w:rsidRPr="00BB292F" w:rsidRDefault="00D94516" w:rsidP="0020390B">
      <w:pPr>
        <w:pStyle w:val="TPText-1abc"/>
      </w:pPr>
      <w:bookmarkStart w:id="12" w:name="_Ref254673276"/>
      <w:r w:rsidRPr="00BB292F">
        <w:t>Vstup do oblasti ETCS L2 z tratě vybavené automatickým blokem s návěstidly s permisivní platností návěsti Stůj</w:t>
      </w:r>
      <w:bookmarkEnd w:id="12"/>
    </w:p>
    <w:p w:rsidR="00D94516" w:rsidRPr="00BB292F" w:rsidRDefault="00D94516" w:rsidP="0020390B">
      <w:pPr>
        <w:pStyle w:val="TPText-1abc"/>
      </w:pPr>
      <w:bookmarkStart w:id="13" w:name="_Ref254673280"/>
      <w:r w:rsidRPr="00BB292F">
        <w:t>Vstup do oblasti ETCS L2 z tratě vybavené TZZ s návěstidly s absolutní platností návěsti Stůj</w:t>
      </w:r>
      <w:bookmarkEnd w:id="13"/>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4"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4"/>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5"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5"/>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Jízdy více vlaků vybavených ETCS přes zhlaví stanic s postupným rušením závěru jízdní cesty</w:t>
      </w:r>
    </w:p>
    <w:p w:rsidR="00DB3767" w:rsidRPr="00BB292F" w:rsidRDefault="00BF3734" w:rsidP="0020390B">
      <w:pPr>
        <w:pStyle w:val="TPText-1abc"/>
      </w:pPr>
      <w:bookmarkStart w:id="16"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6"/>
    </w:p>
    <w:p w:rsidR="00D82908" w:rsidRPr="00BB292F" w:rsidRDefault="00061862" w:rsidP="0020390B">
      <w:pPr>
        <w:pStyle w:val="TPText-1abc"/>
      </w:pPr>
      <w:bookmarkStart w:id="17"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7"/>
    </w:p>
    <w:p w:rsidR="00A328C0" w:rsidRPr="00BB292F" w:rsidRDefault="00A328C0" w:rsidP="0020390B">
      <w:pPr>
        <w:pStyle w:val="TPText-1abc"/>
      </w:pPr>
      <w:bookmarkStart w:id="18"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8"/>
    </w:p>
    <w:p w:rsidR="00061862" w:rsidRPr="00FB128D" w:rsidRDefault="00061862" w:rsidP="0020390B">
      <w:pPr>
        <w:pStyle w:val="TPText-1abc"/>
      </w:pPr>
      <w:bookmarkStart w:id="19"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19"/>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w:instrText>
      </w:r>
      <w:r w:rsidRPr="00BB292F">
        <w:instrText xml:space="preserve">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w:instrText>
      </w:r>
      <w:r w:rsidRPr="00BB292F">
        <w:instrText xml:space="preserve">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w:instrText>
      </w:r>
      <w:r w:rsidRPr="00BB292F">
        <w:instrText xml:space="preserve">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w:instrText>
      </w:r>
      <w:r w:rsidRPr="00BB292F">
        <w:instrText xml:space="preserve">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0" w:name="_Toc507679113"/>
      <w:r w:rsidRPr="00BB292F">
        <w:lastRenderedPageBreak/>
        <w:t>Požadavky na projektovou dokumentaci</w:t>
      </w:r>
      <w:bookmarkEnd w:id="20"/>
    </w:p>
    <w:p w:rsidR="00D94516" w:rsidRPr="00BB292F" w:rsidRDefault="00FB700D" w:rsidP="00852A82">
      <w:pPr>
        <w:pStyle w:val="TPText-1slovan"/>
        <w:keepNext/>
      </w:pPr>
      <w:bookmarkStart w:id="21"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1"/>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2"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2"/>
    </w:p>
    <w:p w:rsidR="00D94516" w:rsidRPr="00BB292F" w:rsidRDefault="00D94516" w:rsidP="0020390B">
      <w:pPr>
        <w:pStyle w:val="TPText-1slovan"/>
      </w:pPr>
      <w:bookmarkStart w:id="23"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3"/>
    </w:p>
    <w:p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w:instrText>
      </w:r>
      <w:r w:rsidRPr="00BB292F">
        <w:instrText xml:space="preserve">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w:instrText>
      </w:r>
      <w:r w:rsidRPr="00BB292F">
        <w:instrText xml:space="preserve">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Seznam balíz obsahující identifikační číslo každé balízy,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4" w:name="_Toc507679114"/>
      <w:r w:rsidRPr="00BB292F">
        <w:t>Všeobecné požadavky</w:t>
      </w:r>
      <w:bookmarkEnd w:id="24"/>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5" w:name="_Ref254696650"/>
      <w:r w:rsidRPr="00BB292F">
        <w:t>MA FS musí být vydáváno:</w:t>
      </w:r>
      <w:bookmarkEnd w:id="25"/>
    </w:p>
    <w:p w:rsidR="00D94516" w:rsidRPr="00BB292F" w:rsidRDefault="00D94516" w:rsidP="00A66633">
      <w:pPr>
        <w:pStyle w:val="TPText-1abc"/>
        <w:numPr>
          <w:ilvl w:val="0"/>
          <w:numId w:val="24"/>
        </w:numPr>
      </w:pPr>
      <w:bookmarkStart w:id="26"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6"/>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7" w:name="OLE_LINK1"/>
      <w:r w:rsidRPr="00BB292F">
        <w:t>včetně všech variant</w:t>
      </w:r>
      <w:r w:rsidR="003E450F" w:rsidRPr="00BB292F">
        <w:t>ních</w:t>
      </w:r>
      <w:r w:rsidRPr="00BB292F">
        <w:t xml:space="preserve"> vlakových cest, které zajišťuje SZZ</w:t>
      </w:r>
      <w:bookmarkEnd w:id="27"/>
    </w:p>
    <w:p w:rsidR="00D94516" w:rsidRPr="00BB292F" w:rsidRDefault="00D94516" w:rsidP="0020390B">
      <w:pPr>
        <w:pStyle w:val="TPText-1abc"/>
      </w:pPr>
      <w:bookmarkStart w:id="28"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w:instrText>
      </w:r>
      <w:r w:rsidRPr="00BB292F">
        <w:instrText xml:space="preserve">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w:instrText>
      </w:r>
      <w:r w:rsidRPr="00BB292F">
        <w:instrText xml:space="preserve">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29" w:name="_Ref254696659"/>
      <w:r w:rsidRPr="00BB292F">
        <w:t>pro všechny jízdy v prostorových oddílech na širé trati</w:t>
      </w:r>
      <w:bookmarkEnd w:id="29"/>
    </w:p>
    <w:p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w:instrText>
      </w:r>
      <w:r w:rsidRPr="00BB292F">
        <w:instrText xml:space="preserve">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w:instrText>
      </w:r>
      <w:r w:rsidRPr="00BB292F">
        <w:instrText xml:space="preserve">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w:instrText>
      </w:r>
      <w:r w:rsidRPr="00BB292F">
        <w:instrText xml:space="preserve">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0" w:name="_Toc507679115"/>
      <w:r w:rsidRPr="00BB292F">
        <w:t>Požadavky pro vjezd do oblasti ETCS L2</w:t>
      </w:r>
      <w:bookmarkEnd w:id="30"/>
    </w:p>
    <w:p w:rsidR="00D94516" w:rsidRPr="00BB292F" w:rsidRDefault="00D94516" w:rsidP="0020390B">
      <w:pPr>
        <w:pStyle w:val="TPText-1slovan"/>
      </w:pPr>
      <w:bookmarkStart w:id="31"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1"/>
    </w:p>
    <w:p w:rsidR="00D94516" w:rsidRPr="00BB292F" w:rsidRDefault="00D94516" w:rsidP="00852A82">
      <w:pPr>
        <w:pStyle w:val="TPText-1slovan"/>
        <w:keepNext/>
      </w:pPr>
      <w:bookmarkStart w:id="32"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2"/>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w:instrText>
      </w:r>
      <w:r w:rsidRPr="00BB292F">
        <w:instrText xml:space="preserve">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3"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4" w:name="_Toc507679116"/>
      <w:r w:rsidRPr="00BB292F">
        <w:lastRenderedPageBreak/>
        <w:t>Požadavky pro výjezd z oblasti ETCS L2</w:t>
      </w:r>
      <w:bookmarkEnd w:id="33"/>
      <w:bookmarkEnd w:id="34"/>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r w:rsidRPr="00BB292F">
        <w:t>rychlostníkem,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7"/>
      <w:r w:rsidRPr="00BB292F">
        <w:lastRenderedPageBreak/>
        <w:t>Požadavky na hranice mezi obvody RBC</w:t>
      </w:r>
      <w:bookmarkEnd w:id="35"/>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6" w:name="_Ref261793048"/>
      <w:bookmarkStart w:id="37" w:name="_Toc507679118"/>
      <w:r w:rsidRPr="00BB292F">
        <w:t>Další požadavky na navazující SZZ a</w:t>
      </w:r>
      <w:r w:rsidR="00AC541A" w:rsidRPr="00BB292F">
        <w:t> </w:t>
      </w:r>
      <w:r w:rsidRPr="00BB292F">
        <w:t>TZZ</w:t>
      </w:r>
      <w:bookmarkEnd w:id="36"/>
      <w:bookmarkEnd w:id="37"/>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8"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8"/>
    </w:p>
    <w:p w:rsidR="00D94516" w:rsidRPr="00BB292F" w:rsidRDefault="00D94516" w:rsidP="00FE5703">
      <w:pPr>
        <w:pStyle w:val="TPText-1slovan"/>
      </w:pPr>
      <w:bookmarkStart w:id="39"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0" w:name="_Ref290628722"/>
      <w:r w:rsidRPr="00BB292F">
        <w:t>SZZ musí předat RBC při výluce TZZ informaci</w:t>
      </w:r>
      <w:r w:rsidR="002C183C" w:rsidRPr="00BB292F">
        <w:t xml:space="preserve"> o:</w:t>
      </w:r>
      <w:bookmarkEnd w:id="40"/>
    </w:p>
    <w:p w:rsidR="002C183C" w:rsidRPr="00BB292F" w:rsidRDefault="002C183C" w:rsidP="00A66633">
      <w:pPr>
        <w:pStyle w:val="TPText-1abc"/>
        <w:numPr>
          <w:ilvl w:val="0"/>
          <w:numId w:val="28"/>
        </w:numPr>
      </w:pPr>
      <w:bookmarkStart w:id="41" w:name="_Ref291158323"/>
      <w:r w:rsidRPr="00BB292F">
        <w:t>výluce TZZ</w:t>
      </w:r>
      <w:bookmarkEnd w:id="41"/>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2"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2"/>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3"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3"/>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4"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5"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4"/>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5"/>
    </w:p>
    <w:p w:rsidR="00D94516" w:rsidRPr="00BB292F" w:rsidRDefault="00D94516" w:rsidP="00AD647C">
      <w:pPr>
        <w:pStyle w:val="TPText-1slovan"/>
      </w:pPr>
      <w:bookmarkStart w:id="46"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6"/>
    </w:p>
    <w:p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7"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7"/>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8" w:name="_Ref255223866"/>
      <w:bookmarkStart w:id="49" w:name="_Toc507679119"/>
      <w:r w:rsidRPr="00BB292F">
        <w:lastRenderedPageBreak/>
        <w:t>Požadavky na vazbu na přejezdová zabezpečovací zařízení</w:t>
      </w:r>
      <w:bookmarkEnd w:id="48"/>
      <w:bookmarkEnd w:id="49"/>
    </w:p>
    <w:p w:rsidR="00D94516" w:rsidRPr="00BB292F" w:rsidRDefault="001136DB" w:rsidP="00852A82">
      <w:pPr>
        <w:pStyle w:val="TPText-1slovan"/>
        <w:keepNext/>
      </w:pPr>
      <w:bookmarkStart w:id="50" w:name="_Ref222118387"/>
      <w:r w:rsidRPr="00BB292F">
        <w:t>PZ</w:t>
      </w:r>
      <w:r w:rsidR="00FF66CB" w:rsidRPr="00BB292F">
        <w:t>Z světelné</w:t>
      </w:r>
      <w:r w:rsidRPr="00BB292F">
        <w:t xml:space="preserve"> </w:t>
      </w:r>
      <w:r w:rsidR="00D94516" w:rsidRPr="00BB292F">
        <w:t>je schopno dávat výstrahu, jestliže:</w:t>
      </w:r>
      <w:bookmarkEnd w:id="50"/>
    </w:p>
    <w:p w:rsidR="00D94516" w:rsidRPr="00BB292F" w:rsidRDefault="00D94516" w:rsidP="00A66633">
      <w:pPr>
        <w:pStyle w:val="TPText-1abc"/>
        <w:numPr>
          <w:ilvl w:val="0"/>
          <w:numId w:val="35"/>
        </w:numPr>
      </w:pPr>
      <w:bookmarkStart w:id="51"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1"/>
    </w:p>
    <w:p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2" w:name="_Ref442030666"/>
      <w:r w:rsidRPr="00BB292F">
        <w:t>PZ</w:t>
      </w:r>
      <w:r w:rsidR="00FF66CB" w:rsidRPr="00BB292F">
        <w:t xml:space="preserve">Z mechanické </w:t>
      </w:r>
      <w:r w:rsidRPr="00BB292F">
        <w:t xml:space="preserve">je schopno dávat výstrahu, </w:t>
      </w:r>
      <w:r w:rsidR="003E49AA" w:rsidRPr="00BB292F">
        <w:t>jestliže:</w:t>
      </w:r>
      <w:bookmarkEnd w:id="52"/>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3" w:name="_Ref221933245"/>
      <w:bookmarkStart w:id="54" w:name="_Ref254534535"/>
      <w:bookmarkStart w:id="55"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3"/>
      <w:bookmarkEnd w:id="54"/>
      <w:r w:rsidR="00647578" w:rsidRPr="00BB292F">
        <w:t>.</w:t>
      </w:r>
      <w:bookmarkEnd w:id="55"/>
    </w:p>
    <w:p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w:instrText>
      </w:r>
      <w:r w:rsidRPr="00BB292F">
        <w:rPr>
          <w:lang w:val="en-GB"/>
        </w:rPr>
      </w:r>
      <w:r w:rsidRPr="00BB292F">
        <w:instrText xml:space="preserve"> \* MERGEFORMAT </w:instrText>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DE32C3" w:rsidRPr="00BB292F">
        <w:rPr>
          <w:lang w:val="en-GB"/>
        </w:rPr>
      </w:r>
      <w:r w:rsidR="00AD647C" w:rsidRPr="00C1566A">
        <w:rPr>
          <w:lang w:val="de-DE"/>
        </w:rPr>
        <w:instrText xml:space="preserve"> \* MERGEFORMAT </w:instrText>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6" w:name="_Ref257357036"/>
      <w:bookmarkStart w:id="57" w:name="_Ref263407195"/>
      <w:bookmarkStart w:id="58" w:name="_Toc507679120"/>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horními rychlostníky N</w:t>
      </w:r>
    </w:p>
    <w:p w:rsidR="00BD2587" w:rsidRPr="00BB292F" w:rsidRDefault="00BD2587" w:rsidP="00AD647C">
      <w:pPr>
        <w:pStyle w:val="TPText-3iii"/>
      </w:pPr>
      <w:r w:rsidRPr="00BB292F">
        <w:t>rychlostníky N, pokud v místě rychlostníku N není horní rychlostník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rsidR="00BD2587" w:rsidRPr="00BB292F" w:rsidRDefault="00BD2587" w:rsidP="00AD647C">
      <w:pPr>
        <w:pStyle w:val="TPText-3iii"/>
      </w:pPr>
      <w:r w:rsidRPr="00BB292F">
        <w:t>horními rychlostníky N na trati (části tratě), kde není k dispozici rychlostní profil pro nedostatek převýšení 150 mm</w:t>
      </w:r>
    </w:p>
    <w:p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r w:rsidRPr="00BB292F">
        <w:t>rychlostníky</w:t>
      </w:r>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rsidR="00DF2345" w:rsidRPr="00BB292F" w:rsidRDefault="00DF2345" w:rsidP="00AD647C">
      <w:pPr>
        <w:pStyle w:val="TPText-3iii"/>
      </w:pPr>
      <w:r w:rsidRPr="00BB292F">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r w:rsidRPr="00BB292F">
        <w:lastRenderedPageBreak/>
        <w:t>rychlostníky N na trati (části tratě), kde není rychlost udávána rychlostníky NS, pokud v místě rychlostníku N není horní rychlostník N.</w:t>
      </w:r>
    </w:p>
    <w:p w:rsidR="00DF2345" w:rsidRPr="00BB292F" w:rsidRDefault="00DF2345" w:rsidP="00AD647C">
      <w:pPr>
        <w:pStyle w:val="TPText-1neslovan"/>
      </w:pPr>
      <w:r w:rsidRPr="00BB292F">
        <w:t>Přitom při zvyšování rychlosti musí být respektováno, zda rychlostník platí pro celý vlak nebo jen čelo vlaku.</w:t>
      </w:r>
    </w:p>
    <w:p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Poznámka 2: Definice rychlostníků:</w:t>
      </w:r>
    </w:p>
    <w:p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rsidR="00BD2587" w:rsidRPr="00BB292F" w:rsidRDefault="00BD2587" w:rsidP="00852A82">
      <w:pPr>
        <w:pStyle w:val="TPText-1neslovan"/>
        <w:keepNext/>
      </w:pPr>
      <w:r w:rsidRPr="00BB292F">
        <w:t>Rychlostník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rychlostníkem N současně umístěn horní rychlostník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rsidR="00BD2587" w:rsidRPr="00BB292F" w:rsidRDefault="00BD2587" w:rsidP="00852A82">
      <w:pPr>
        <w:pStyle w:val="TPText-1neslovan"/>
        <w:keepNext/>
      </w:pPr>
      <w:r w:rsidRPr="00BB292F">
        <w:t>Horní rychlostník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rsidR="00BD2587" w:rsidRPr="00BB292F" w:rsidRDefault="00BD2587" w:rsidP="00AD647C">
      <w:pPr>
        <w:pStyle w:val="TPText-1neslovan"/>
      </w:pPr>
      <w:r w:rsidRPr="00BB292F">
        <w:t>Omezení rychlosti rychlostníkem N končí u následujícího rychlostníku N.</w:t>
      </w:r>
    </w:p>
    <w:p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r w:rsidRPr="00BB292F">
        <w:t>rychlostníkem N, není</w:t>
      </w:r>
      <w:r w:rsidRPr="00BB292F">
        <w:noBreakHyphen/>
        <w:t>li umístěn současně s horním rychlostníkem N nebo</w:t>
      </w:r>
    </w:p>
    <w:p w:rsidR="00694DE9" w:rsidRPr="00BB292F" w:rsidRDefault="00BD2587" w:rsidP="00AD647C">
      <w:pPr>
        <w:pStyle w:val="TPText-1odrka"/>
      </w:pPr>
      <w:r w:rsidRPr="00BB292F">
        <w:t>horním rychlostníkem N, je</w:t>
      </w:r>
      <w:r w:rsidRPr="00BB292F">
        <w:noBreakHyphen/>
        <w:t>li umístěn současně s rychlostníkem N.</w:t>
      </w:r>
    </w:p>
    <w:p w:rsidR="00E72201" w:rsidRPr="00BB292F" w:rsidRDefault="004E63E8" w:rsidP="00AD647C">
      <w:pPr>
        <w:pStyle w:val="TPText-1neslovan"/>
      </w:pPr>
      <w:r w:rsidRPr="00BB292F">
        <w:t>Pokud je nad rychlostníkem umístěn symbol parní lokomotivy, může vlak zvyšovat rychlost po minutí rychlostníku čelem vlaku.</w:t>
      </w:r>
    </w:p>
    <w:p w:rsidR="00DF2345" w:rsidRPr="00BB292F" w:rsidRDefault="00DF2345" w:rsidP="00852A82">
      <w:pPr>
        <w:pStyle w:val="TPText-1slovan"/>
        <w:keepNext/>
      </w:pPr>
      <w:bookmarkStart w:id="59" w:name="_Ref263676364"/>
      <w:r w:rsidRPr="00BB292F">
        <w:t>V následujícím textu se považuje:</w:t>
      </w:r>
      <w:bookmarkEnd w:id="59"/>
    </w:p>
    <w:p w:rsidR="00DF2345" w:rsidRPr="00BB292F" w:rsidRDefault="00DF2345" w:rsidP="00852A82">
      <w:pPr>
        <w:pStyle w:val="TPText-1abc"/>
        <w:keepNext/>
        <w:numPr>
          <w:ilvl w:val="0"/>
          <w:numId w:val="41"/>
        </w:numPr>
      </w:pPr>
      <w:bookmarkStart w:id="60" w:name="_Ref263407203"/>
      <w:r w:rsidRPr="00BB292F">
        <w:t>za začátek výhybky:</w:t>
      </w:r>
      <w:bookmarkEnd w:id="60"/>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1" w:name="_Ref263676366"/>
      <w:r w:rsidRPr="00BB292F">
        <w:lastRenderedPageBreak/>
        <w:t>za konec výhybky:</w:t>
      </w:r>
      <w:bookmarkEnd w:id="61"/>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2"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2"/>
    </w:p>
    <w:p w:rsidR="00DF2345" w:rsidRPr="00BB292F" w:rsidRDefault="00DF2345" w:rsidP="00AD647C">
      <w:pPr>
        <w:pStyle w:val="TPText-1abc"/>
      </w:pPr>
      <w:bookmarkStart w:id="63"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3"/>
    </w:p>
    <w:p w:rsidR="00DF2345" w:rsidRPr="00BB292F" w:rsidRDefault="00DF2345" w:rsidP="00852A82">
      <w:pPr>
        <w:pStyle w:val="TPText-1abc"/>
        <w:keepNext/>
      </w:pPr>
      <w:bookmarkStart w:id="64"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4"/>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5" w:name="_Ref263670576"/>
      <w:r w:rsidRPr="00BB292F">
        <w:lastRenderedPageBreak/>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6"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6"/>
    </w:p>
    <w:p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lastRenderedPageBreak/>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7"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7"/>
    </w:p>
    <w:p w:rsidR="00DF2345" w:rsidRPr="00BB292F" w:rsidRDefault="00DF2345" w:rsidP="004113C4">
      <w:pPr>
        <w:pStyle w:val="TPNadpis-2slovan"/>
      </w:pPr>
      <w:bookmarkStart w:id="68" w:name="_Ref263670881"/>
      <w:bookmarkStart w:id="69" w:name="_Ref263671017"/>
      <w:bookmarkStart w:id="70" w:name="_Ref263671962"/>
      <w:bookmarkStart w:id="71" w:name="_Ref263672501"/>
      <w:bookmarkStart w:id="72" w:name="_Toc507679121"/>
      <w:r w:rsidRPr="00BB292F">
        <w:t>Další požadavky na RBC</w:t>
      </w:r>
      <w:bookmarkEnd w:id="68"/>
      <w:bookmarkEnd w:id="69"/>
      <w:bookmarkEnd w:id="70"/>
      <w:bookmarkEnd w:id="71"/>
      <w:bookmarkEnd w:id="72"/>
    </w:p>
    <w:p w:rsidR="00DF2345" w:rsidRPr="00BB292F" w:rsidRDefault="00DF2345" w:rsidP="00852A82">
      <w:pPr>
        <w:pStyle w:val="TPText-1slovan"/>
        <w:keepNext/>
      </w:pPr>
      <w:r w:rsidRPr="00BB292F">
        <w:t>RBC musí umožnit položit EoA:</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3" w:name="_Ref291146276"/>
      <w:r w:rsidRPr="00BB292F">
        <w:t>před vjezdy do tunelů se systémy zajišťující</w:t>
      </w:r>
      <w:r w:rsidR="002C255F" w:rsidRPr="00BB292F">
        <w:t>mi</w:t>
      </w:r>
      <w:r w:rsidRPr="00BB292F">
        <w:t xml:space="preserve"> bezpečnost v tunelech</w:t>
      </w:r>
      <w:bookmarkEnd w:id="73"/>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4"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4"/>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6278"/>
      <w:r w:rsidRPr="00BB292F">
        <w:t>v místech, kde to vyžaduje technické řešení pro splnění požadavků definovaných v tomto dokumentu.</w:t>
      </w:r>
      <w:bookmarkEnd w:id="75"/>
    </w:p>
    <w:p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6"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w:t>
      </w:r>
      <w:r w:rsidRPr="00BB292F">
        <w:lastRenderedPageBreak/>
        <w:t xml:space="preserve">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6"/>
    </w:p>
    <w:p w:rsidR="00DF2345" w:rsidRPr="00BB292F" w:rsidRDefault="00DF2345" w:rsidP="00852A82">
      <w:pPr>
        <w:pStyle w:val="TPText-1slovan"/>
        <w:keepNext/>
      </w:pPr>
      <w:bookmarkStart w:id="77" w:name="_Ref410972634"/>
      <w:r w:rsidRPr="00BB292F">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7"/>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8" w:name="_Ref263670898"/>
      <w:r w:rsidRPr="00BB292F">
        <w:t>na trati s automatickým blokem s traťovou rychlostí nejvíce 120 km/h od LRBG nejméně po nejbližší možné EoA, které je dále než 5 km od této LRBG</w:t>
      </w:r>
      <w:bookmarkEnd w:id="78"/>
    </w:p>
    <w:p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rsidR="00DF2345" w:rsidRPr="00BB292F" w:rsidRDefault="00DF2345" w:rsidP="00216CD3">
      <w:pPr>
        <w:pStyle w:val="TPText-1abc"/>
      </w:pPr>
      <w:bookmarkStart w:id="79" w:name="_Ref263670901"/>
      <w:r w:rsidRPr="00BB292F">
        <w:t>na trati s automatickým blokem s traťovou rychlostí větší než 160 km/h, nejvíce však 200 km/h od LRBG nejméně po nejbližší možné EoA, které je dále než 7,5 km od této LRBG</w:t>
      </w:r>
      <w:bookmarkEnd w:id="79"/>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0"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0"/>
    </w:p>
    <w:p w:rsidR="00DF2345" w:rsidRPr="00BB292F" w:rsidRDefault="00DF2345" w:rsidP="00216CD3">
      <w:pPr>
        <w:pStyle w:val="TPText-1slovan"/>
      </w:pPr>
      <w:bookmarkStart w:id="81"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1"/>
    </w:p>
    <w:p w:rsidR="00DF2345" w:rsidRPr="00BB292F" w:rsidRDefault="00051B1B" w:rsidP="00216CD3">
      <w:pPr>
        <w:pStyle w:val="TPText-1slovan"/>
      </w:pPr>
      <w:bookmarkStart w:id="82"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2"/>
    </w:p>
    <w:p w:rsidR="00DF2345" w:rsidRPr="00BB292F" w:rsidRDefault="00DF2345" w:rsidP="00216CD3">
      <w:pPr>
        <w:pStyle w:val="TPText-1slovan"/>
      </w:pPr>
      <w:r w:rsidRPr="00BB292F">
        <w:lastRenderedPageBreak/>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3" w:name="_Ref263671070"/>
      <w:r w:rsidRPr="00BB292F">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3"/>
    </w:p>
    <w:p w:rsidR="00DF2345" w:rsidRPr="00BB292F" w:rsidRDefault="00DF2345" w:rsidP="00A66633">
      <w:pPr>
        <w:pStyle w:val="TPText-1abc"/>
        <w:numPr>
          <w:ilvl w:val="0"/>
          <w:numId w:val="50"/>
        </w:numPr>
      </w:pPr>
      <w:bookmarkStart w:id="84"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4"/>
    </w:p>
    <w:p w:rsidR="00DF2345" w:rsidRPr="00BB292F" w:rsidRDefault="00DF2345" w:rsidP="00216CD3">
      <w:pPr>
        <w:pStyle w:val="TPText-1abc"/>
      </w:pPr>
      <w:bookmarkStart w:id="85"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5"/>
    </w:p>
    <w:p w:rsidR="00DF2345" w:rsidRPr="00BB292F" w:rsidRDefault="00DF2345" w:rsidP="00216CD3">
      <w:pPr>
        <w:pStyle w:val="TPText-1abc"/>
      </w:pPr>
      <w:bookmarkStart w:id="86"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7"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7"/>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 xml:space="preserve">přejezdové zabezpečovací </w:t>
      </w:r>
      <w:r w:rsidRPr="00BB292F">
        <w:lastRenderedPageBreak/>
        <w:t>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8"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8"/>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rsidR="00DF2345" w:rsidRPr="00BB292F" w:rsidRDefault="00DF2345" w:rsidP="00705D60">
      <w:pPr>
        <w:pStyle w:val="TPText-1slovan"/>
      </w:pPr>
      <w:bookmarkStart w:id="89" w:name="_Ref426635519"/>
      <w:r w:rsidRPr="00BB292F">
        <w:lastRenderedPageBreak/>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89"/>
    </w:p>
    <w:p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0"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0"/>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1" w:name="OLE_LINK3"/>
      <w:r w:rsidRPr="00BB292F">
        <w:t>atým zprávám od téhož sousedního RBC</w:t>
      </w:r>
      <w:bookmarkEnd w:id="91"/>
      <w:r w:rsidRPr="00BB292F">
        <w:t>, nesmí vést k výpadku RBC.</w:t>
      </w:r>
    </w:p>
    <w:p w:rsidR="00DF2345" w:rsidRPr="00BB292F" w:rsidRDefault="00DF2345" w:rsidP="00705D60">
      <w:pPr>
        <w:pStyle w:val="TPText-1slovan"/>
      </w:pPr>
      <w:r w:rsidRPr="00BB292F">
        <w:t>Jakékoliv poruchy IRI, příjmy zpráv, které jsou nelogické vůči předchozím přijatým zprávám od téhož IRI, nebo které obsahují neznámé hodnoty (Unknow values), nesmí vést k výpadku RBC.</w:t>
      </w:r>
    </w:p>
    <w:p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 xml:space="preserve">dále) do prvního prostorového </w:t>
      </w:r>
      <w:r w:rsidRPr="00BB292F">
        <w:lastRenderedPageBreak/>
        <w:t>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2" w:name="_Ref428776160"/>
      <w:r>
        <w:t>Neobsazeno.</w:t>
      </w:r>
      <w:bookmarkEnd w:id="92"/>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3"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3"/>
    </w:p>
    <w:p w:rsidR="00DF2345" w:rsidRPr="00BB292F" w:rsidRDefault="00DF2345" w:rsidP="004113C4">
      <w:pPr>
        <w:pStyle w:val="TPNadpis-2slovan"/>
      </w:pPr>
      <w:bookmarkStart w:id="94" w:name="_Ref263670063"/>
      <w:bookmarkStart w:id="95" w:name="_Toc507679122"/>
      <w:r w:rsidRPr="00BB292F">
        <w:t xml:space="preserve">Jízda po </w:t>
      </w:r>
      <w:r w:rsidR="002B0801" w:rsidRPr="00BB292F">
        <w:t xml:space="preserve">dopravní </w:t>
      </w:r>
      <w:r w:rsidRPr="00BB292F">
        <w:t>koleji</w:t>
      </w:r>
      <w:bookmarkEnd w:id="94"/>
      <w:bookmarkEnd w:id="95"/>
    </w:p>
    <w:p w:rsidR="00DF2345" w:rsidRPr="00BB292F" w:rsidRDefault="00DF2345" w:rsidP="00705D60">
      <w:pPr>
        <w:pStyle w:val="TPText-1slovan"/>
      </w:pPr>
      <w:bookmarkStart w:id="96"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6"/>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w:t>
      </w:r>
      <w:r w:rsidRPr="00BB292F">
        <w:lastRenderedPageBreak/>
        <w:t xml:space="preserve">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7"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7"/>
    </w:p>
    <w:p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8"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8"/>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w:instrText>
      </w:r>
      <w:r w:rsidR="009135F3" w:rsidRPr="00BB292F">
        <w:instrText xml:space="preserve">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99" w:name="_Toc507679123"/>
      <w:r w:rsidRPr="00BB292F">
        <w:lastRenderedPageBreak/>
        <w:t>Traťové poměry</w:t>
      </w:r>
      <w:bookmarkEnd w:id="99"/>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rsidR="00D22B06" w:rsidRPr="00BB292F" w:rsidRDefault="00D22B06" w:rsidP="00A66633">
      <w:pPr>
        <w:pStyle w:val="TPText-3iii"/>
        <w:numPr>
          <w:ilvl w:val="0"/>
          <w:numId w:val="58"/>
        </w:numPr>
      </w:pPr>
      <w:bookmarkStart w:id="100" w:name="_Ref290466814"/>
      <w:r w:rsidRPr="00BB292F">
        <w:t>v souladu se SUBSET-040 nebo</w:t>
      </w:r>
      <w:bookmarkEnd w:id="100"/>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(Lowered pantograph)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rsidR="00DF2345" w:rsidRPr="00BB292F" w:rsidRDefault="00DF2345" w:rsidP="00A66633">
      <w:pPr>
        <w:pStyle w:val="TPText-1abc"/>
        <w:numPr>
          <w:ilvl w:val="0"/>
          <w:numId w:val="59"/>
        </w:numPr>
      </w:pPr>
      <w:bookmarkStart w:id="101"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1"/>
    </w:p>
    <w:p w:rsidR="00DF2345" w:rsidRPr="00BB292F" w:rsidRDefault="00DF2345" w:rsidP="00705D60">
      <w:pPr>
        <w:pStyle w:val="TPText-1abc"/>
      </w:pPr>
      <w:bookmarkStart w:id="102"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2"/>
    </w:p>
    <w:p w:rsidR="00DF2345" w:rsidRPr="00BB292F" w:rsidRDefault="00DF2345" w:rsidP="00705D60">
      <w:pPr>
        <w:pStyle w:val="TPText-1abc"/>
      </w:pPr>
      <w:bookmarkStart w:id="103"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3"/>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(Lowered pantograph)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lastRenderedPageBreak/>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4"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4"/>
    </w:p>
    <w:p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5" w:name="_Ref263671509"/>
      <w:r w:rsidRPr="00BB292F">
        <w:t>za místo změny trakčního systému se považuje místo, kde se již smí zvednout sběrač</w:t>
      </w:r>
      <w:bookmarkEnd w:id="105"/>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 xml:space="preserve">(Stopping not permitted, inhibit a passenger emergency brake). Jedná se </w:t>
      </w:r>
      <w:r w:rsidRPr="00BB292F">
        <w:lastRenderedPageBreak/>
        <w:t>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6" w:name="_Toc507679124"/>
      <w:r w:rsidRPr="00BB292F">
        <w:t>Posun</w:t>
      </w:r>
      <w:bookmarkEnd w:id="106"/>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rsidR="00DF2345" w:rsidRPr="00BB292F" w:rsidRDefault="00DF2345" w:rsidP="004113C4">
      <w:pPr>
        <w:pStyle w:val="TPNadpis-2slovan"/>
      </w:pPr>
      <w:bookmarkStart w:id="107" w:name="_Ref263404766"/>
      <w:bookmarkStart w:id="108" w:name="_Toc507679125"/>
      <w:r w:rsidRPr="00BB292F">
        <w:t>Textové zprávy</w:t>
      </w:r>
      <w:bookmarkEnd w:id="107"/>
      <w:bookmarkEnd w:id="108"/>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09" w:name="_Ref290636484"/>
      <w:r w:rsidRPr="00BB292F">
        <w:t>nutnosti přejít do režimu SR pomocí funkce Override</w:t>
      </w:r>
      <w:bookmarkEnd w:id="109"/>
    </w:p>
    <w:p w:rsidR="005415E7" w:rsidRPr="00BB292F" w:rsidRDefault="00DF2345" w:rsidP="00705D60">
      <w:pPr>
        <w:pStyle w:val="TPText-1abc"/>
      </w:pPr>
      <w:r w:rsidRPr="00BB292F">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rsidR="00DF2345" w:rsidRPr="00BB292F" w:rsidRDefault="00DF2345" w:rsidP="00705D60">
      <w:pPr>
        <w:pStyle w:val="TPText-1slovan"/>
      </w:pPr>
      <w:bookmarkStart w:id="110"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0"/>
    </w:p>
    <w:p w:rsidR="00DF2345" w:rsidRPr="00BB292F" w:rsidRDefault="00DF2345" w:rsidP="00705D60">
      <w:pPr>
        <w:pStyle w:val="TPText-1slovan"/>
      </w:pPr>
      <w:bookmarkStart w:id="111"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w:t>
      </w:r>
      <w:r w:rsidRPr="00BB292F">
        <w:lastRenderedPageBreak/>
        <w:t>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1"/>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2"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2"/>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rsidR="00DF2345" w:rsidRPr="00BB292F" w:rsidRDefault="00DF2345" w:rsidP="00705D60">
      <w:pPr>
        <w:pStyle w:val="TPText-1slovan"/>
      </w:pPr>
      <w:bookmarkStart w:id="113"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3"/>
    </w:p>
    <w:p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rsidR="007C7A5C" w:rsidRPr="00BB292F" w:rsidRDefault="00561583" w:rsidP="00705D60">
      <w:pPr>
        <w:pStyle w:val="TPText-1slovan"/>
      </w:pPr>
      <w:r w:rsidRPr="00BB292F">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rsidR="00951CD4" w:rsidRDefault="00951CD4" w:rsidP="00705D60">
      <w:pPr>
        <w:pStyle w:val="TPText-1slovan"/>
      </w:pPr>
      <w:bookmarkStart w:id="114"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4"/>
    </w:p>
    <w:p w:rsidR="00DF2345" w:rsidRPr="00BB292F" w:rsidRDefault="00DF2345" w:rsidP="004113C4">
      <w:pPr>
        <w:pStyle w:val="TPNadpis-2slovan"/>
      </w:pPr>
      <w:bookmarkStart w:id="115" w:name="_Ref263670768"/>
      <w:bookmarkStart w:id="116" w:name="_Toc507679126"/>
      <w:r w:rsidRPr="00BB292F">
        <w:t>Požadavky na MMI</w:t>
      </w:r>
      <w:bookmarkEnd w:id="115"/>
      <w:r w:rsidR="00F50FB2" w:rsidRPr="00BB292F">
        <w:t xml:space="preserve"> RBC</w:t>
      </w:r>
      <w:bookmarkEnd w:id="116"/>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lastRenderedPageBreak/>
        <w:t>MMI</w:t>
      </w:r>
      <w:r w:rsidR="00DF2345" w:rsidRPr="00BB292F">
        <w:t xml:space="preserve"> RBC musí poskytovat všechny informace v českém jazyce.</w:t>
      </w:r>
    </w:p>
    <w:p w:rsidR="00DF2345" w:rsidRPr="00BB292F" w:rsidRDefault="00DF2345" w:rsidP="00705D60">
      <w:pPr>
        <w:pStyle w:val="TPText-1slovan"/>
      </w:pPr>
      <w:r w:rsidRPr="00BB292F">
        <w:t>Klávesnice musí obsahovat klávesy popsané v českém jazyce kromě označení kláves používaného na PC (např. Enter, Delete, Esc,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w:instrText>
      </w:r>
      <w:r w:rsidRPr="00BB292F">
        <w:instrText xml:space="preserve">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7"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7"/>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lastRenderedPageBreak/>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mezinárodní kategorie vlaku (tj. které rychlostníky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t>nápravový tlak</w:t>
      </w:r>
      <w:r w:rsidR="00443536" w:rsidRPr="00BB292F">
        <w:t>.</w:t>
      </w:r>
    </w:p>
    <w:p w:rsidR="00DF2345" w:rsidRPr="00BB292F" w:rsidRDefault="00DF2345" w:rsidP="00705D60">
      <w:pPr>
        <w:pStyle w:val="TPText-1neslovan"/>
      </w:pPr>
      <w:r w:rsidRPr="00BB292F">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8"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8"/>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19"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19"/>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0" w:name="_Ref263671695"/>
      <w:r w:rsidRPr="00BB292F">
        <w:lastRenderedPageBreak/>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0"/>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1" w:name="_Ref263670001"/>
      <w:bookmarkStart w:id="122" w:name="_Toc507679127"/>
      <w:r w:rsidRPr="00BB292F">
        <w:t>Řešení provizorní úvazky na SZZ</w:t>
      </w:r>
      <w:bookmarkEnd w:id="121"/>
      <w:bookmarkEnd w:id="122"/>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3" w:name="_Ref263671932"/>
      <w:r w:rsidRPr="00BB292F">
        <w:t>Pro stanice bez elektronického nebo hybridního SZZ se předpokládá pro vydávání MA využití pouze informací o:</w:t>
      </w:r>
      <w:bookmarkEnd w:id="123"/>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4" w:name="_Ref263671934"/>
      <w:r w:rsidRPr="00BB292F">
        <w:t>polohách výhybek pomocí cestových relé (např. u</w:t>
      </w:r>
      <w:r w:rsidR="00CD7292" w:rsidRPr="00BB292F">
        <w:t> </w:t>
      </w:r>
      <w:r w:rsidRPr="00BB292F">
        <w:t>elektromechanického SZZ), tam, kde cestová relé v SZZ existují</w:t>
      </w:r>
      <w:bookmarkEnd w:id="124"/>
    </w:p>
    <w:p w:rsidR="00DF2345" w:rsidRPr="00BB292F" w:rsidRDefault="00DF2345" w:rsidP="00705D60">
      <w:pPr>
        <w:pStyle w:val="TPText-1abc"/>
      </w:pPr>
      <w:bookmarkStart w:id="125"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5"/>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6"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6"/>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lastRenderedPageBreak/>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rsidR="00DF2345" w:rsidRPr="00BB292F" w:rsidRDefault="00DF2345" w:rsidP="004113C4">
      <w:pPr>
        <w:pStyle w:val="TPNadpis-2slovan"/>
      </w:pPr>
      <w:bookmarkStart w:id="127" w:name="_Toc507679128"/>
      <w:r w:rsidRPr="00BB292F">
        <w:t>Požadavky na umisťování BG a</w:t>
      </w:r>
      <w:r w:rsidR="00CD7292" w:rsidRPr="00BB292F">
        <w:t> </w:t>
      </w:r>
      <w:r w:rsidRPr="00BB292F">
        <w:t>přenos informací pomocí BG z provozního hlediska</w:t>
      </w:r>
      <w:bookmarkEnd w:id="127"/>
    </w:p>
    <w:p w:rsidR="00DF2345" w:rsidRPr="00BB292F" w:rsidRDefault="00DF2345" w:rsidP="00705D60">
      <w:pPr>
        <w:pStyle w:val="TPText-1slovan"/>
      </w:pPr>
      <w:bookmarkStart w:id="128"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8"/>
    </w:p>
    <w:p w:rsidR="00DF2345" w:rsidRPr="00BB292F" w:rsidRDefault="00DF2345" w:rsidP="00705D60">
      <w:pPr>
        <w:pStyle w:val="TPText-1slovan"/>
      </w:pPr>
      <w:r w:rsidRPr="00BB292F">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w:t>
      </w:r>
      <w:r w:rsidR="00C4017D" w:rsidRPr="00BB292F">
        <w:lastRenderedPageBreak/>
        <w:t xml:space="preserve">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29" w:name="_Ref478645794"/>
      <w:r w:rsidRPr="00BB292F">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29"/>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(handover)</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rsidR="00773EB6" w:rsidRPr="00BB292F" w:rsidRDefault="00773EB6" w:rsidP="00705D60">
      <w:pPr>
        <w:pStyle w:val="TPText-1abc"/>
      </w:pPr>
      <w:r w:rsidRPr="00BB292F">
        <w:t>Ostatní BG by měly být</w:t>
      </w:r>
      <w:r w:rsidR="00B130DE" w:rsidRPr="00BB292F">
        <w:t xml:space="preserve"> jednobalízové.</w:t>
      </w:r>
    </w:p>
    <w:p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0" w:name="_Ref478627340"/>
      <w:r w:rsidRPr="00BB292F">
        <w:lastRenderedPageBreak/>
        <w:t>Balízy v hlavních kolejích a balízy v kolejích pojížděných rychlostí vyšší než 60 km/h musí být účinně chráněny před ledem padajícím z vlaků.</w:t>
      </w:r>
      <w:bookmarkEnd w:id="130"/>
    </w:p>
    <w:p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rsidR="005B4D4E" w:rsidRPr="00BB292F" w:rsidRDefault="005B4D4E" w:rsidP="00705D60">
      <w:pPr>
        <w:pStyle w:val="TPText-1slovan"/>
      </w:pPr>
      <w:bookmarkStart w:id="131"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1"/>
    </w:p>
    <w:p w:rsidR="00DF2345" w:rsidRPr="00BB292F" w:rsidRDefault="00DF2345" w:rsidP="004113C4">
      <w:pPr>
        <w:pStyle w:val="TPNadpis-2slovan"/>
      </w:pPr>
      <w:bookmarkStart w:id="132" w:name="_Toc507679129"/>
      <w:r w:rsidRPr="00BB292F">
        <w:t>Požadavky na umisťování neproměnných návěstí</w:t>
      </w:r>
      <w:bookmarkEnd w:id="132"/>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3" w:name="_Ref263672623"/>
      <w:r w:rsidRPr="00BB292F">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3"/>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4"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5" w:name="_Ref254595268"/>
      <w:r w:rsidRPr="00BB292F">
        <w:t xml:space="preserve">V místě hranice pro výjezd z oblasti ETCS L2 musí být umístěno neproměnné návěstidlo podle </w:t>
      </w:r>
      <w:bookmarkEnd w:id="134"/>
      <w:bookmarkEnd w:id="135"/>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w:t>
      </w:r>
      <w:r w:rsidR="002E6DBB" w:rsidRPr="00BB292F">
        <w:lastRenderedPageBreak/>
        <w:t xml:space="preserve">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6" w:name="_Ref263672681"/>
      <w:r w:rsidRPr="00BB292F">
        <w:t>na stožár návěstidla tak, aby nekomplikovalo výstup na návěstidlo</w:t>
      </w:r>
      <w:r w:rsidR="00F2664F" w:rsidRPr="00BB292F">
        <w:t>,</w:t>
      </w:r>
      <w:r w:rsidRPr="00BB292F">
        <w:t xml:space="preserve"> jeho údržbu</w:t>
      </w:r>
      <w:bookmarkEnd w:id="136"/>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7" w:name="_Ref263672684"/>
      <w:r w:rsidRPr="00BB292F">
        <w:t>na trakční stožár</w:t>
      </w:r>
      <w:bookmarkEnd w:id="137"/>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8" w:name="_Ref291592376"/>
      <w:bookmarkStart w:id="139" w:name="_Ref410237617"/>
      <w:bookmarkStart w:id="140" w:name="_Toc507679130"/>
      <w:r w:rsidRPr="00BB292F">
        <w:t>Výluky</w:t>
      </w:r>
      <w:bookmarkEnd w:id="138"/>
      <w:r w:rsidR="00A937CB" w:rsidRPr="00BB292F">
        <w:t xml:space="preserve"> ETCS</w:t>
      </w:r>
      <w:bookmarkEnd w:id="139"/>
      <w:bookmarkEnd w:id="140"/>
    </w:p>
    <w:p w:rsidR="00CC0F20" w:rsidRPr="00BB292F" w:rsidRDefault="00CC0F20" w:rsidP="00852A82">
      <w:pPr>
        <w:pStyle w:val="TPText-1slovan"/>
        <w:keepNext/>
      </w:pPr>
      <w:bookmarkStart w:id="141"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1"/>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2" w:name="_Ref290630195"/>
      <w:r w:rsidRPr="00BB292F">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2"/>
      <w:r w:rsidR="002F5C56" w:rsidRPr="00BB292F">
        <w:t xml:space="preserve"> (nejméně s O12, O14, O26)</w:t>
      </w:r>
      <w:r w:rsidR="00303C13" w:rsidRPr="00BB292F">
        <w:t>.</w:t>
      </w:r>
    </w:p>
    <w:p w:rsidR="00CC0F20" w:rsidRPr="00BB292F" w:rsidRDefault="009A198F" w:rsidP="00705D60">
      <w:pPr>
        <w:pStyle w:val="TPText-1slovan"/>
      </w:pPr>
      <w:r w:rsidRPr="00BB292F">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3"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3"/>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80182A" w:rsidRPr="00BB292F">
        <w:t>)</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lastRenderedPageBreak/>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4" w:name="_Ref291592379"/>
      <w:r w:rsidRPr="00BB292F">
        <w:t>Pokud je zavedena ETCS výluka, RBC:</w:t>
      </w:r>
      <w:bookmarkEnd w:id="144"/>
    </w:p>
    <w:p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5"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5"/>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6" w:name="_Ref289773240"/>
      <w:bookmarkStart w:id="147" w:name="_Toc507679131"/>
      <w:r w:rsidRPr="00BB292F">
        <w:t xml:space="preserve">Požadavky na </w:t>
      </w:r>
      <w:r w:rsidR="00151C62" w:rsidRPr="00BB292F">
        <w:t>ZHOTOVENÍ STAVBY</w:t>
      </w:r>
      <w:bookmarkEnd w:id="146"/>
      <w:bookmarkEnd w:id="147"/>
    </w:p>
    <w:p w:rsidR="00DF2345" w:rsidRPr="00BB292F" w:rsidRDefault="00DF2345" w:rsidP="00097B54">
      <w:pPr>
        <w:pStyle w:val="TPText-1slovan"/>
      </w:pPr>
      <w:bookmarkStart w:id="148"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8"/>
    </w:p>
    <w:p w:rsidR="00E805AA" w:rsidRPr="00BB292F" w:rsidRDefault="00E805AA" w:rsidP="00097B54">
      <w:pPr>
        <w:pStyle w:val="TPText-1slovan"/>
      </w:pPr>
      <w:r w:rsidRPr="00BB292F">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49" w:name="_Ref478627358"/>
      <w:r w:rsidRPr="00BB292F">
        <w:lastRenderedPageBreak/>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49"/>
    </w:p>
    <w:p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 xml:space="preserve">další část trati, </w:t>
      </w:r>
      <w:r w:rsidRPr="00BB292F">
        <w:lastRenderedPageBreak/>
        <w:t>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0" w:name="_Toc507679132"/>
      <w:r w:rsidRPr="00BB292F">
        <w:t>Požadavky na fázi testování</w:t>
      </w:r>
      <w:bookmarkEnd w:id="150"/>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1" w:name="_Toc507679133"/>
      <w:r w:rsidRPr="00BB292F">
        <w:t>Požadavky na fázi schvalování a certifikace</w:t>
      </w:r>
      <w:bookmarkEnd w:id="151"/>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2"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2"/>
      <w:r w:rsidR="00C37906" w:rsidRPr="00FB128D">
        <w:t xml:space="preserve"> </w:t>
      </w:r>
    </w:p>
    <w:p w:rsidR="00DF2345" w:rsidRPr="00FB128D" w:rsidRDefault="00DF2345" w:rsidP="00097B54">
      <w:pPr>
        <w:pStyle w:val="TPText-1slovan"/>
      </w:pPr>
      <w:bookmarkStart w:id="153" w:name="_Ref428449853"/>
      <w:r w:rsidRPr="00FB128D">
        <w:lastRenderedPageBreak/>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3"/>
    </w:p>
    <w:p w:rsidR="00866291" w:rsidRPr="00BB292F" w:rsidRDefault="00866291" w:rsidP="00097B54">
      <w:pPr>
        <w:pStyle w:val="TPText-1slovan"/>
      </w:pPr>
      <w:bookmarkStart w:id="154"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4"/>
    </w:p>
    <w:p w:rsidR="00DF2345" w:rsidRPr="00BB292F" w:rsidRDefault="00DF2345" w:rsidP="00097B54">
      <w:pPr>
        <w:pStyle w:val="TPText-1slovan"/>
      </w:pPr>
      <w:bookmarkStart w:id="155"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5"/>
    </w:p>
    <w:p w:rsidR="00DF2345" w:rsidRPr="00BB292F" w:rsidRDefault="00DF2345" w:rsidP="00852A82">
      <w:pPr>
        <w:pStyle w:val="TPText-1slovan"/>
        <w:keepNext/>
      </w:pPr>
      <w:bookmarkStart w:id="156"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6"/>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rsidR="00DF2345" w:rsidRPr="00BB292F" w:rsidRDefault="00DF2345" w:rsidP="00097B54">
      <w:pPr>
        <w:pStyle w:val="TPText-1abc"/>
      </w:pPr>
      <w:r w:rsidRPr="00BB292F">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6"/>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lastRenderedPageBreak/>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4"/>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D1E" w:rsidRDefault="00660D1E">
      <w:r>
        <w:separator/>
      </w:r>
    </w:p>
  </w:endnote>
  <w:endnote w:type="continuationSeparator" w:id="0">
    <w:p w:rsidR="00660D1E" w:rsidRDefault="0066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9A7335">
      <w:rPr>
        <w:rStyle w:val="slostrnky"/>
        <w:noProof/>
      </w:rPr>
      <w:t>5</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9A7335">
      <w:rPr>
        <w:rStyle w:val="slostrnky"/>
        <w:noProof/>
      </w:rPr>
      <w:t>46</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rsidP="0022223D">
    <w:pPr>
      <w:pStyle w:val="Zpat"/>
      <w:spacing w:after="200" w:line="276" w:lineRule="auto"/>
      <w:jc w:val="center"/>
    </w:pPr>
    <w:r>
      <w:rPr>
        <w:noProof/>
        <w:lang w:eastAsia="cs-CZ"/>
      </w:rPr>
      <w:drawing>
        <wp:anchor distT="0" distB="0" distL="114300" distR="114300" simplePos="0" relativeHeight="251659264" behindDoc="1" locked="1" layoutInCell="1" allowOverlap="1">
          <wp:simplePos x="0" y="0"/>
          <wp:positionH relativeFrom="page">
            <wp:posOffset>822325</wp:posOffset>
          </wp:positionH>
          <wp:positionV relativeFrom="page">
            <wp:posOffset>9312275</wp:posOffset>
          </wp:positionV>
          <wp:extent cx="5939790" cy="949960"/>
          <wp:effectExtent l="0" t="0" r="0" b="0"/>
          <wp:wrapTopAndBottom/>
          <wp:docPr id="1"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D1E" w:rsidRDefault="00660D1E">
      <w:r>
        <w:separator/>
      </w:r>
    </w:p>
  </w:footnote>
  <w:footnote w:type="continuationSeparator" w:id="0">
    <w:p w:rsidR="00660D1E" w:rsidRDefault="0066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335" w:rsidRDefault="009A73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Pr="00D32695" w:rsidRDefault="00E84EA1" w:rsidP="00FD0DA0">
    <w:pPr>
      <w:pStyle w:val="Zhlav"/>
      <w:pBdr>
        <w:bottom w:val="single" w:sz="4" w:space="1" w:color="auto"/>
      </w:pBdr>
      <w:tabs>
        <w:tab w:val="clear" w:pos="4536"/>
        <w:tab w:val="clear" w:pos="9072"/>
        <w:tab w:val="center" w:pos="4140"/>
        <w:tab w:val="right" w:pos="9270"/>
      </w:tabs>
      <w:jc w:val="right"/>
      <w:rPr>
        <w:b/>
        <w:sz w:val="20"/>
      </w:rPr>
    </w:pPr>
    <w:r>
      <w:rPr>
        <w:b/>
        <w:sz w:val="20"/>
      </w:rPr>
      <w:t>Zvláštní t</w:t>
    </w:r>
    <w:r w:rsidRPr="00D32695">
      <w:rPr>
        <w:b/>
        <w:sz w:val="20"/>
      </w:rPr>
      <w:t>echnické podmínky</w:t>
    </w:r>
    <w:r>
      <w:rPr>
        <w:b/>
        <w:sz w:val="20"/>
      </w:rPr>
      <w:t xml:space="preserve"> na projekt a realizaci stavby</w:t>
    </w:r>
  </w:p>
  <w:p w:rsidR="00E84EA1" w:rsidRPr="00D32695" w:rsidRDefault="00E84EA1" w:rsidP="00FD0DA0">
    <w:pPr>
      <w:pStyle w:val="Zhlav"/>
      <w:pBdr>
        <w:bottom w:val="single" w:sz="4" w:space="1" w:color="auto"/>
      </w:pBdr>
      <w:tabs>
        <w:tab w:val="clear" w:pos="4536"/>
        <w:tab w:val="clear" w:pos="9072"/>
        <w:tab w:val="center" w:pos="4140"/>
        <w:tab w:val="right" w:pos="9270"/>
      </w:tabs>
      <w:jc w:val="right"/>
      <w:rPr>
        <w:b/>
        <w:sz w:val="20"/>
      </w:rPr>
    </w:pPr>
    <w:r>
      <w:rPr>
        <w:b/>
        <w:sz w:val="20"/>
      </w:rPr>
      <w:t>ETCS úrovně 2 – 25. 2. 2016</w:t>
    </w:r>
  </w:p>
  <w:p w:rsidR="00E84EA1" w:rsidRDefault="00E84EA1" w:rsidP="00A333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č. 4  </w:t>
    </w:r>
    <w:r>
      <w:t>–</w:t>
    </w:r>
    <w:r w:rsidR="00497381">
      <w:t xml:space="preserve"> </w:t>
    </w:r>
    <w:r w:rsidRPr="003B5BED">
      <w:t>techn</w:t>
    </w:r>
    <w:bookmarkStart w:id="157" w:name="_GoBack"/>
    <w:bookmarkEnd w:id="157"/>
    <w:r w:rsidRPr="003B5BED">
      <w:t>ické podmínky</w:t>
    </w:r>
  </w:p>
  <w:p w:rsidR="00E84EA1" w:rsidRPr="003B5BED" w:rsidRDefault="00E84EA1" w:rsidP="0020390B">
    <w:pPr>
      <w:pStyle w:val="TPZhlav"/>
    </w:pPr>
    <w:r>
      <w:t xml:space="preserve">Zhotovení projektu a </w:t>
    </w:r>
    <w:r w:rsidRPr="007A0B83">
      <w:t>stavby</w:t>
    </w:r>
    <w:r w:rsidR="00C5744A">
      <w:t xml:space="preserve"> (P+R)</w:t>
    </w:r>
  </w:p>
  <w:p w:rsidR="00E84EA1" w:rsidRPr="0020390B" w:rsidRDefault="00E84EA1" w:rsidP="0020390B">
    <w:pPr>
      <w:pStyle w:val="TPZhlav"/>
    </w:pPr>
    <w:r w:rsidRPr="0020390B">
      <w:t>ETCS úrovně 2 –</w:t>
    </w:r>
    <w:r w:rsidR="009147F0">
      <w:t xml:space="preserve"> 30.8.2020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sz w:val="1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45B7E"/>
    <w:rPr>
      <w:rFonts w:ascii="Calibri" w:eastAsia="Calibri" w:hAnsi="Calibri"/>
      <w:sz w:val="22"/>
      <w:szCs w:val="22"/>
      <w:lang w:eastAsia="en-US"/>
    </w:rPr>
  </w:style>
  <w:style w:type="character" w:customStyle="1" w:styleId="TextkomenteChar">
    <w:name w:val="Text komentáře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F92B2-AAB2-4869-BD2D-B3135FA36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22989</Words>
  <Characters>135641</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Kokeš Jan, Ing.</cp:lastModifiedBy>
  <cp:revision>2</cp:revision>
  <cp:lastPrinted>2016-03-14T14:20:00Z</cp:lastPrinted>
  <dcterms:created xsi:type="dcterms:W3CDTF">2020-10-30T08:06:00Z</dcterms:created>
  <dcterms:modified xsi:type="dcterms:W3CDTF">2020-10-30T08:06:00Z</dcterms:modified>
</cp:coreProperties>
</file>